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8CC2F" w14:textId="77777777" w:rsidR="008C18BA" w:rsidRDefault="008C18BA" w:rsidP="008C18B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«19» октября 2021 года № 12.1-р Об утверждении методики прогнозирования налоговых и неналоговых доходов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2022 год и на плановый период 2023 и 2024 годов</w:t>
      </w:r>
    </w:p>
    <w:p w14:paraId="548DED6E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3DA844D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51127B07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4D069B73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118677CD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РАСПОРЯЖЕНИЕ</w:t>
      </w:r>
    </w:p>
    <w:p w14:paraId="6EAEB1F6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19»  октября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2021 года     № 12.1-р</w:t>
      </w:r>
      <w:r>
        <w:rPr>
          <w:rStyle w:val="a4"/>
          <w:rFonts w:ascii="Tahoma" w:hAnsi="Tahoma" w:cs="Tahoma"/>
          <w:color w:val="000000"/>
          <w:sz w:val="18"/>
          <w:szCs w:val="18"/>
        </w:rPr>
        <w:t>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05"/>
      </w:tblGrid>
      <w:tr w:rsidR="008C18BA" w14:paraId="1AAF6AF2" w14:textId="77777777" w:rsidTr="008C18BA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E16F0" w14:textId="77777777" w:rsidR="008C18BA" w:rsidRDefault="008C18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EF2D6AB" w14:textId="77777777" w:rsidR="008C18BA" w:rsidRDefault="008C18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методики</w:t>
            </w:r>
          </w:p>
          <w:p w14:paraId="55224406" w14:textId="77777777" w:rsidR="008C18BA" w:rsidRDefault="008C18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прогнозирования налоговых</w:t>
            </w:r>
          </w:p>
          <w:p w14:paraId="1E987538" w14:textId="77777777" w:rsidR="008C18BA" w:rsidRDefault="008C18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неналоговых доходов бюджета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Кривцовский</w:t>
            </w:r>
            <w:proofErr w:type="spellEnd"/>
            <w:r>
              <w:rPr>
                <w:sz w:val="18"/>
                <w:szCs w:val="18"/>
              </w:rPr>
              <w:t xml:space="preserve"> сельсовет»</w:t>
            </w:r>
          </w:p>
          <w:p w14:paraId="59D5B36B" w14:textId="77777777" w:rsidR="008C18BA" w:rsidRDefault="008C18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2022 год и на плановый период 2023 и 2024 годов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0F40C" w14:textId="77777777" w:rsidR="008C18BA" w:rsidRDefault="008C18B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56A67FAF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7D3823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DF6F34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174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Федерации:</w:t>
      </w:r>
    </w:p>
    <w:p w14:paraId="68BA0B95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5B5056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методику прогнозирования налоговых и неналоговых доходов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2022 год и на плановый период 2023 и 2024 годов согласно приложению №1.</w:t>
      </w:r>
    </w:p>
    <w:p w14:paraId="7E25BAB8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792FFD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распоряжения оставляю за собой.</w:t>
      </w:r>
    </w:p>
    <w:p w14:paraId="2C32BC3A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6BC334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Распоряжение  вступает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силу со дня его подписания.</w:t>
      </w:r>
    </w:p>
    <w:p w14:paraId="0E2C7C55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AA8592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D310D3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393FE0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 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И.Н.Ивлякова</w:t>
      </w:r>
      <w:proofErr w:type="spellEnd"/>
    </w:p>
    <w:p w14:paraId="2A544A52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B3EC60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800EBE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C27034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14:paraId="4C576B48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14:paraId="50BB94AD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                                    Курской области</w:t>
      </w:r>
    </w:p>
    <w:p w14:paraId="4743A3CA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19.10.2021 №12.1-р</w:t>
      </w:r>
    </w:p>
    <w:p w14:paraId="08EF484A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B4F26F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C564F6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Методика</w:t>
      </w:r>
    </w:p>
    <w:p w14:paraId="55BF2CFF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прогнозирования налоговых и неналоговых доходов бюджета муниципального образования "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Курской  области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на 2022 год и на плановый период 2023 и 2024 годов.</w:t>
      </w:r>
    </w:p>
    <w:p w14:paraId="222E279A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FB2072D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Доходная база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2021-2023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 и муниципального образования.</w:t>
      </w:r>
    </w:p>
    <w:p w14:paraId="4BCA2715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Прогнозирование осуществляется отдельно по каждому виду налога или сбора в условиях хозяйствования сельсовета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14:paraId="254A3363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</w:t>
      </w:r>
      <w:r>
        <w:rPr>
          <w:rFonts w:ascii="Tahoma" w:hAnsi="Tahoma" w:cs="Tahoma"/>
          <w:color w:val="000000"/>
          <w:sz w:val="18"/>
          <w:szCs w:val="18"/>
          <w:u w:val="single"/>
        </w:rPr>
        <w:t>.</w:t>
      </w:r>
    </w:p>
    <w:p w14:paraId="2AA21FE1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ADB615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Налог на доходы физических лиц (код 1 01 02000 01 0000 110)</w:t>
      </w:r>
    </w:p>
    <w:p w14:paraId="2B2F1813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статьями 227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227.1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</w:p>
    <w:p w14:paraId="48BB5F94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14:paraId="574E7FF7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Ожидаемое поступление налога в 2021 году рассчитывается исходя из фактических поступлений сумм налога за 6 месяцев 2021 года и среднего удельного веса поступлений за соответствующие периоды 2018, 2019 и 2020 годов в фактических годовых поступлениях.</w:t>
      </w:r>
    </w:p>
    <w:p w14:paraId="79900057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2022 год, и ставки налога в размере 13%.</w:t>
      </w:r>
    </w:p>
    <w:p w14:paraId="246A131A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Прогнозируемая сумма поступления налога на 2023 – 2024 годы также рассчитывается по двум вариантам и принимается средний из них.</w:t>
      </w:r>
    </w:p>
    <w:p w14:paraId="146B8BEA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на 2023 – 2024 годы определяется исходя из прогнозируемого поступления налога в 2022 году по первому варианту, скорректированного на ежегодные темпы роста (снижения) фонда заработной платы на 2023 – 2024 годы.</w:t>
      </w:r>
    </w:p>
    <w:p w14:paraId="7CE33DB6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Второй вариант – сумма налога на 2023 – 2024 годы определяется исходя из фонда заработной платы, планируемого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2023–2024 годы, и ставки налога в размере 13%.</w:t>
      </w:r>
    </w:p>
    <w:p w14:paraId="34C367AE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6D3BBA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в части суммы налога, превышающей 650000рублей, относящейся к  части налоговой базы, превышающей 5000000 рублей (за исключением налога на доходы физических лиц с сумм прибыли, контролируемой иностранной компании) в соответствии со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статьей 227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Федерации, (код 1 01 02080 01 0000 110) рассчитывается исходя из ожидаемого поступления налога в 2021 году, скорректированного на ежегодные темпы роста (снижения) фонда заработной платы в 2022 – 2024 годах.</w:t>
      </w:r>
    </w:p>
    <w:p w14:paraId="44992D48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2021 году рассчитывается исходя из среднего фактического поступления сумм налога в 2019 и 2020 годах.</w:t>
      </w:r>
    </w:p>
    <w:p w14:paraId="436AED69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22AF35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Налог на имущество физических лиц</w:t>
      </w:r>
      <w:r>
        <w:rPr>
          <w:rFonts w:ascii="Tahoma" w:hAnsi="Tahoma" w:cs="Tahoma"/>
          <w:color w:val="000000"/>
          <w:sz w:val="18"/>
          <w:szCs w:val="18"/>
        </w:rPr>
        <w:t> (код 1 06 01000 00 0000 110)</w:t>
      </w:r>
    </w:p>
    <w:p w14:paraId="65A86AD4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2022 – 2024 годы рассчитывается исходя из ожидаемого поступления налога в 2021 году.</w:t>
      </w:r>
    </w:p>
    <w:p w14:paraId="09173A7C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2021 году определяется на уровне фактического поступления налога в 2020 году.</w:t>
      </w:r>
    </w:p>
    <w:p w14:paraId="5B2B5700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8B57E6E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Земельный налог</w:t>
      </w:r>
      <w:r>
        <w:rPr>
          <w:rFonts w:ascii="Tahoma" w:hAnsi="Tahoma" w:cs="Tahoma"/>
          <w:color w:val="000000"/>
          <w:sz w:val="18"/>
          <w:szCs w:val="18"/>
        </w:rPr>
        <w:t> (код 1 06 06000 00 0000 110)</w:t>
      </w:r>
    </w:p>
    <w:p w14:paraId="55C01D39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земельного налога на 2022 – 2024 годы определяется на уровне ожидаемого поступления налога в 2021 году.</w:t>
      </w:r>
    </w:p>
    <w:p w14:paraId="462DF6B0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2021 году рассчитывается исходя из среднего значения фактических поступлений сумм налога в 2019 и 2020 годах.</w:t>
      </w:r>
    </w:p>
    <w:p w14:paraId="6C5D95C0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46E275" w14:textId="77777777" w:rsidR="008C18BA" w:rsidRDefault="008C18BA" w:rsidP="008C18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2021 году рассчитывается исходя из среднего значения фактических поступлений сумм налога в 2019 и 2020 год</w:t>
      </w:r>
    </w:p>
    <w:p w14:paraId="48F08788" w14:textId="6633EA7B" w:rsidR="006D2215" w:rsidRPr="008C18BA" w:rsidRDefault="006D2215" w:rsidP="008C18BA">
      <w:bookmarkStart w:id="0" w:name="_GoBack"/>
      <w:bookmarkEnd w:id="0"/>
    </w:p>
    <w:sectPr w:rsidR="006D2215" w:rsidRPr="008C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62BBA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250F6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44435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039CD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65984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A7A4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3E7B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18BA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3EA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549D9"/>
    <w:rsid w:val="00C609C8"/>
    <w:rsid w:val="00C64849"/>
    <w:rsid w:val="00C65921"/>
    <w:rsid w:val="00C67DE7"/>
    <w:rsid w:val="00C7465B"/>
    <w:rsid w:val="00C74BFE"/>
    <w:rsid w:val="00C8785A"/>
    <w:rsid w:val="00CB76D1"/>
    <w:rsid w:val="00CD18FF"/>
    <w:rsid w:val="00CD54D1"/>
    <w:rsid w:val="00CE5FA0"/>
    <w:rsid w:val="00CE6BB1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82002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57763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0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403</cp:revision>
  <dcterms:created xsi:type="dcterms:W3CDTF">2025-02-19T15:50:00Z</dcterms:created>
  <dcterms:modified xsi:type="dcterms:W3CDTF">2025-02-23T16:26:00Z</dcterms:modified>
</cp:coreProperties>
</file>